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EXHIBITOR &amp; SPONSORSHIP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Would you like to be a sponsor of the 2017 Annual Meeting &amp;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Conference?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Please consider supporting this exciting professional development opportunity, where over 700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college admission and secondary school professionals will be in attendance. </w:t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A wide variety of sponsorship opportunities are available and include: participating in the Exhibitor Expo, purchasing advertising space in the conference program booklet, hosting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evening entertainment, and providing giveaways.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All sponsorship packages include a complimentary conference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registration (exclusive of housing).</w:t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For more information, please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email </w:t>
      </w:r>
      <w:hyperlink r:id="rId5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amcsponsorship@neacac.org</w:t>
        </w:r>
      </w:hyperlink>
      <w:r w:rsidDel="00000000" w:rsidR="00000000" w:rsidRPr="00000000">
        <w:rPr>
          <w:rFonts w:ascii="Arial" w:cs="Arial" w:eastAsia="Arial" w:hAnsi="Arial"/>
          <w:color w:val="50005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amcsponsorship@neacac.org" TargetMode="External"/></Relationships>
</file>